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550F" w14:textId="093A0CF8" w:rsidR="00CB3F4C" w:rsidRDefault="0018107F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Classroom Recycling Audit Worksheet</w:t>
      </w:r>
    </w:p>
    <w:p w14:paraId="13103500" w14:textId="77777777" w:rsidR="00493E8B" w:rsidRDefault="00493E8B" w:rsidP="00493E8B">
      <w:pP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</w:p>
    <w:p w14:paraId="30B5B350" w14:textId="608687E0" w:rsidR="00CB3F4C" w:rsidRPr="00493E8B" w:rsidRDefault="00493E8B" w:rsidP="00493E8B">
      <w:pPr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</w:pPr>
      <w:r w:rsidRPr="00493E8B"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  <w:t>Data</w:t>
      </w:r>
      <w:r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  <w:t>:</w:t>
      </w: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582"/>
      </w:tblGrid>
      <w:tr w:rsidR="0018107F" w:rsidRPr="00CB3F4C" w14:paraId="37FA78C9" w14:textId="77777777" w:rsidTr="00F363FA">
        <w:trPr>
          <w:trHeight w:val="28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5354" w14:textId="3BF69F22" w:rsidR="0018107F" w:rsidRPr="00CB3F4C" w:rsidRDefault="0018107F" w:rsidP="0018107F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True Trash Landfill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AF08" w14:textId="7820E509" w:rsidR="0018107F" w:rsidRPr="00CB3F4C" w:rsidRDefault="0018107F" w:rsidP="0018107F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Recyclables</w:t>
            </w:r>
          </w:p>
        </w:tc>
      </w:tr>
      <w:tr w:rsidR="00CB3F4C" w:rsidRPr="00CB3F4C" w14:paraId="0B51A220" w14:textId="77777777" w:rsidTr="00CB3F4C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DCDA" w14:textId="7E641686" w:rsidR="00CB3F4C" w:rsidRPr="00CB3F4C" w:rsidRDefault="0018107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A67" w14:textId="6D51498D" w:rsidR="00CB3F4C" w:rsidRPr="00CB3F4C" w:rsidRDefault="0018107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Total of each item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87C7" w14:textId="0F7CE800" w:rsidR="00CB3F4C" w:rsidRPr="00CB3F4C" w:rsidRDefault="005A252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A646" w14:textId="3FA2D2D1" w:rsidR="00CB3F4C" w:rsidRPr="00CB3F4C" w:rsidRDefault="005A252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Total of each item</w:t>
            </w:r>
          </w:p>
        </w:tc>
      </w:tr>
      <w:tr w:rsidR="0018107F" w:rsidRPr="00CB3F4C" w14:paraId="466FA7D0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5F2B" w14:textId="4389A88B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 xml:space="preserve">Food/Candy Wrappers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E1A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356F" w14:textId="0D2D0B89" w:rsidR="0018107F" w:rsidRPr="0018107F" w:rsidRDefault="0018107F" w:rsidP="001810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 xml:space="preserve">Metal/Aluminum Cans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988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068BF8E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B57F" w14:textId="42302175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A84B" w14:textId="350B01AE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394F" w14:textId="7C612668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Plastic Bottles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7367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5B31EF4C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AE00" w14:textId="1C81944A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Used Tissues/Paper Towels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FCCE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DA0" w14:textId="3A98CDCA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 Plastics (Clean food containers)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A77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0E2021FE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0E81" w14:textId="40C51B6F" w:rsidR="0018107F" w:rsidRPr="00CB3F4C" w:rsidRDefault="00CA7EFA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Altered/Dirty 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0D0" w14:textId="5225021A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9D03" w14:textId="79794549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Paper Products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4092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7EFA" w:rsidRPr="00CB3F4C" w14:paraId="3650A7B7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0B54" w14:textId="79ED4386" w:rsidR="00CA7EFA" w:rsidRDefault="00CA7EFA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4EAF" w14:textId="77777777" w:rsidR="00CA7EFA" w:rsidRPr="00CB3F4C" w:rsidRDefault="00CA7EFA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801D" w14:textId="00B91CFD" w:rsidR="00CA7EFA" w:rsidRDefault="00CA7EFA" w:rsidP="0018107F">
            <w:pP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Cardboard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D224" w14:textId="77777777" w:rsidR="00CA7EFA" w:rsidRPr="00CB3F4C" w:rsidRDefault="00CA7EFA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3DBA302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7FB" w14:textId="6260F670" w:rsidR="0018107F" w:rsidRPr="0018107F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</w:pPr>
            <w:r w:rsidRPr="0018107F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Landfill Total</w:t>
            </w: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F54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DDBC" w14:textId="50210B92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Recyclables</w:t>
            </w:r>
            <w:r w:rsidRPr="0018107F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 xml:space="preserve"> Total</w:t>
            </w: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353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3DF98B11" w14:textId="77777777" w:rsidTr="0018107F">
        <w:trPr>
          <w:trHeight w:val="432"/>
        </w:trPr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72A2" w14:textId="3554525C" w:rsidR="0018107F" w:rsidRPr="00CB3F4C" w:rsidRDefault="0018107F" w:rsidP="001810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b/>
                <w:bCs/>
                <w:color w:val="70AD47" w:themeColor="accent6"/>
                <w:sz w:val="22"/>
                <w:szCs w:val="22"/>
              </w:rPr>
              <w:t>All Items</w:t>
            </w:r>
            <w:r w:rsidRPr="0018107F">
              <w:rPr>
                <w:rFonts w:ascii="Gilroy Light" w:eastAsia="Times New Roman" w:hAnsi="Gilroy Light" w:cs="Times New Roman"/>
                <w:b/>
                <w:bCs/>
                <w:color w:val="70AD47" w:themeColor="accent6"/>
                <w:sz w:val="22"/>
                <w:szCs w:val="22"/>
              </w:rPr>
              <w:t xml:space="preserve"> Total:</w:t>
            </w:r>
          </w:p>
        </w:tc>
      </w:tr>
    </w:tbl>
    <w:p w14:paraId="2AD5683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234A7EC8" w14:textId="77E8A64C" w:rsidR="00CB3F4C" w:rsidRDefault="0018107F" w:rsidP="00493E8B">
      <w:pP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Trash Calculations:</w:t>
      </w:r>
    </w:p>
    <w:p w14:paraId="3340AA8B" w14:textId="2FE7CD4A" w:rsidR="0018107F" w:rsidRPr="00EB5382" w:rsidRDefault="0018107F" w:rsidP="00493E8B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>___________ ÷ ___________ x 100 = ___________%</w:t>
      </w:r>
    </w:p>
    <w:p w14:paraId="6ABB6EAA" w14:textId="3115A06C" w:rsidR="0018107F" w:rsidRPr="00EB5382" w:rsidRDefault="0018107F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(# of Trash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>(Total # of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        (Percent)</w:t>
      </w:r>
    </w:p>
    <w:p w14:paraId="5845F04D" w14:textId="7F716793" w:rsidR="0018107F" w:rsidRDefault="0018107F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</w:t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Items)</w:t>
      </w:r>
    </w:p>
    <w:p w14:paraId="710F1318" w14:textId="6A5C75E1" w:rsid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</w:p>
    <w:p w14:paraId="7721ABB1" w14:textId="1F64B105" w:rsidR="00EB5382" w:rsidRDefault="00EB5382" w:rsidP="00493E8B">
      <w:pP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Recyclable Calculations:</w:t>
      </w:r>
    </w:p>
    <w:p w14:paraId="61C489EE" w14:textId="2FF2605B" w:rsidR="00EB5382" w:rsidRPr="00EB5382" w:rsidRDefault="00EB5382" w:rsidP="00493E8B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___________ 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</w:t>
      </w: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>÷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</w:t>
      </w: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___________ x 100 = ___________%</w:t>
      </w:r>
    </w:p>
    <w:p w14:paraId="4BEC4734" w14:textId="31FD5345" w:rsidR="00EB5382" w:rsidRP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(# of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Recyclable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(Total # of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     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(Percent)</w:t>
      </w:r>
    </w:p>
    <w:p w14:paraId="42746444" w14:textId="4A64486B" w:rsid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</w:t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Items)</w:t>
      </w:r>
    </w:p>
    <w:p w14:paraId="3F4E2BCA" w14:textId="34F2B049" w:rsidR="00493E8B" w:rsidRDefault="00493E8B" w:rsidP="00EB5382">
      <w:pPr>
        <w:jc w:val="center"/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</w:p>
    <w:p w14:paraId="6A867DB9" w14:textId="440BAA5D" w:rsidR="00493E8B" w:rsidRPr="00493E8B" w:rsidRDefault="00493E8B" w:rsidP="00493E8B">
      <w:pPr>
        <w:rPr>
          <w:rFonts w:ascii="Gilroy Light" w:eastAsia="Times New Roman" w:hAnsi="Gilroy Light" w:cs="Times New Roman"/>
          <w:b/>
          <w:bCs/>
          <w:color w:val="538135" w:themeColor="accent6" w:themeShade="BF"/>
          <w:sz w:val="22"/>
          <w:szCs w:val="22"/>
        </w:rPr>
      </w:pPr>
      <w:r w:rsidRPr="00493E8B">
        <w:rPr>
          <w:rFonts w:ascii="Gilroy Light" w:eastAsia="Times New Roman" w:hAnsi="Gilroy Light" w:cs="Times New Roman"/>
          <w:b/>
          <w:bCs/>
          <w:color w:val="538135" w:themeColor="accent6" w:themeShade="BF"/>
          <w:sz w:val="22"/>
          <w:szCs w:val="22"/>
        </w:rPr>
        <w:t>Graph Results:</w:t>
      </w:r>
    </w:p>
    <w:p w14:paraId="43BE47AC" w14:textId="1E446837" w:rsidR="00330700" w:rsidRDefault="00493E8B" w:rsidP="00493E8B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 xml:space="preserve">Instructions: </w:t>
      </w:r>
      <w:r w:rsidRPr="00493E8B">
        <w:rPr>
          <w:rFonts w:ascii="Gilroy Light" w:eastAsia="Times New Roman" w:hAnsi="Gilroy Light" w:cs="Times New Roman"/>
          <w:color w:val="000000"/>
          <w:sz w:val="22"/>
          <w:szCs w:val="22"/>
        </w:rPr>
        <w:t>Color the Pie Chart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based on the percentages of trash and recyclables. Trash can be colored in red while recyclables can be colored in blue. Each triangle of the pie chart represents 5% of the whole pie.</w:t>
      </w:r>
    </w:p>
    <w:p w14:paraId="3EC7EA0D" w14:textId="31DF5F56" w:rsidR="00CB3F4C" w:rsidRPr="00581AB1" w:rsidRDefault="00493E8B" w:rsidP="00581AB1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noProof/>
          <w:color w:val="000000"/>
          <w:sz w:val="22"/>
          <w:szCs w:val="22"/>
        </w:rPr>
        <w:drawing>
          <wp:inline distT="0" distB="0" distL="0" distR="0" wp14:anchorId="69690159" wp14:editId="1024B860">
            <wp:extent cx="5105400" cy="2438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B3F4C" w:rsidRPr="00581AB1" w:rsidSect="001B0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A705" w14:textId="77777777" w:rsidR="005031A5" w:rsidRDefault="005031A5" w:rsidP="005B749F">
      <w:r>
        <w:separator/>
      </w:r>
    </w:p>
  </w:endnote>
  <w:endnote w:type="continuationSeparator" w:id="0">
    <w:p w14:paraId="7AB85893" w14:textId="77777777" w:rsidR="005031A5" w:rsidRDefault="005031A5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3D5F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C9F4A" wp14:editId="4347A51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DB90" w14:textId="77777777" w:rsidR="005031A5" w:rsidRDefault="005031A5" w:rsidP="005B749F">
      <w:r>
        <w:separator/>
      </w:r>
    </w:p>
  </w:footnote>
  <w:footnote w:type="continuationSeparator" w:id="0">
    <w:p w14:paraId="1611BD60" w14:textId="77777777" w:rsidR="005031A5" w:rsidRDefault="005031A5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202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0EB051A1" wp14:editId="1D384D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55CF9F8C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B13"/>
    <w:multiLevelType w:val="multilevel"/>
    <w:tmpl w:val="E9CE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0E77"/>
    <w:multiLevelType w:val="multilevel"/>
    <w:tmpl w:val="3DD6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0493E"/>
    <w:multiLevelType w:val="multilevel"/>
    <w:tmpl w:val="0AD6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A38A9"/>
    <w:multiLevelType w:val="multilevel"/>
    <w:tmpl w:val="F4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C7D8C"/>
    <w:multiLevelType w:val="multilevel"/>
    <w:tmpl w:val="4DA4D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C"/>
    <w:rsid w:val="000563B1"/>
    <w:rsid w:val="0018107F"/>
    <w:rsid w:val="001B0DCC"/>
    <w:rsid w:val="00204A49"/>
    <w:rsid w:val="00275FFE"/>
    <w:rsid w:val="00330700"/>
    <w:rsid w:val="003532BE"/>
    <w:rsid w:val="00493E8B"/>
    <w:rsid w:val="005031A5"/>
    <w:rsid w:val="00581AB1"/>
    <w:rsid w:val="005A252F"/>
    <w:rsid w:val="005B6B35"/>
    <w:rsid w:val="005B749F"/>
    <w:rsid w:val="005E18AB"/>
    <w:rsid w:val="007D7C35"/>
    <w:rsid w:val="007F004C"/>
    <w:rsid w:val="008B6994"/>
    <w:rsid w:val="00AB7A8D"/>
    <w:rsid w:val="00AE1FE5"/>
    <w:rsid w:val="00C404CD"/>
    <w:rsid w:val="00CA7EFA"/>
    <w:rsid w:val="00CB3F4C"/>
    <w:rsid w:val="00DD67BE"/>
    <w:rsid w:val="00EB5382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9573"/>
  <w15:chartTrackingRefBased/>
  <w15:docId w15:val="{4622498C-C930-DE41-AF63-80174DC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/>
    <w:unhideWhenUsed/>
    <w:rsid w:val="00CB3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</c:v>
                </c:pt>
              </c:strCache>
            </c:strRef>
          </c:tx>
          <c:dPt>
            <c:idx val="0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88-C941-9ADE-5634CC5D8232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88-C941-9ADE-5634CC5D8232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88-C941-9ADE-5634CC5D8232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88-C941-9ADE-5634CC5D8232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88-C941-9ADE-5634CC5D8232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688-C941-9ADE-5634CC5D8232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688-C941-9ADE-5634CC5D8232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688-C941-9ADE-5634CC5D8232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688-C941-9ADE-5634CC5D8232}"/>
              </c:ext>
            </c:extLst>
          </c:dPt>
          <c:dPt>
            <c:idx val="9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688-C941-9ADE-5634CC5D8232}"/>
              </c:ext>
            </c:extLst>
          </c:dPt>
          <c:dPt>
            <c:idx val="10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688-C941-9ADE-5634CC5D8232}"/>
              </c:ext>
            </c:extLst>
          </c:dPt>
          <c:dPt>
            <c:idx val="11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688-C941-9ADE-5634CC5D8232}"/>
              </c:ext>
            </c:extLst>
          </c:dPt>
          <c:dPt>
            <c:idx val="12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688-C941-9ADE-5634CC5D8232}"/>
              </c:ext>
            </c:extLst>
          </c:dPt>
          <c:dPt>
            <c:idx val="13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688-C941-9ADE-5634CC5D8232}"/>
              </c:ext>
            </c:extLst>
          </c:dPt>
          <c:dPt>
            <c:idx val="14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688-C941-9ADE-5634CC5D8232}"/>
              </c:ext>
            </c:extLst>
          </c:dPt>
          <c:dPt>
            <c:idx val="15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688-C941-9ADE-5634CC5D8232}"/>
              </c:ext>
            </c:extLst>
          </c:dPt>
          <c:dPt>
            <c:idx val="16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688-C941-9ADE-5634CC5D8232}"/>
              </c:ext>
            </c:extLst>
          </c:dPt>
          <c:dPt>
            <c:idx val="17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688-C941-9ADE-5634CC5D8232}"/>
              </c:ext>
            </c:extLst>
          </c:dPt>
          <c:dPt>
            <c:idx val="18"/>
            <c:bubble3D val="0"/>
            <c:spPr>
              <a:noFill/>
              <a:ln w="19050"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8688-C941-9ADE-5634CC5D8232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8688-C941-9ADE-5634CC5D8232}"/>
              </c:ext>
            </c:extLst>
          </c:dPt>
          <c:cat>
            <c:numRef>
              <c:f>Sheet1!$A$2:$A$21</c:f>
              <c:numCache>
                <c:formatCode>General</c:formatCode>
                <c:ptCount val="2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8688-C941-9ADE-5634CC5D8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7</cp:revision>
  <dcterms:created xsi:type="dcterms:W3CDTF">2022-03-09T21:00:00Z</dcterms:created>
  <dcterms:modified xsi:type="dcterms:W3CDTF">2022-03-21T19:07:00Z</dcterms:modified>
</cp:coreProperties>
</file>